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41" w:rsidRDefault="00612741" w:rsidP="00612741">
      <w:pPr>
        <w:pStyle w:val="Heading2"/>
        <w:keepNext/>
        <w:keepLines/>
        <w:spacing w:before="120" w:after="40" w:line="240" w:lineRule="auto"/>
        <w:rPr>
          <w:rFonts w:ascii="Arial" w:eastAsia="Arial" w:hAnsi="Arial" w:cs="Arial"/>
          <w:color w:val="00B050"/>
          <w:sz w:val="32"/>
          <w:szCs w:val="32"/>
          <w:u w:color="00B050"/>
        </w:rPr>
      </w:pPr>
      <w:r>
        <w:rPr>
          <w:rFonts w:ascii="Arial" w:hAnsi="Arial"/>
          <w:color w:val="00B050"/>
          <w:sz w:val="32"/>
          <w:szCs w:val="32"/>
          <w:u w:color="00B050"/>
        </w:rPr>
        <w:t xml:space="preserve">The Manchester College Board </w:t>
      </w:r>
    </w:p>
    <w:p w:rsidR="00612741" w:rsidRDefault="00612741" w:rsidP="00612741">
      <w:pPr>
        <w:pStyle w:val="Body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Minutes of the meeting held on Friday 3 May 2019 at 10am at OP116/117.</w:t>
      </w:r>
    </w:p>
    <w:p w:rsidR="00612741" w:rsidRDefault="00612741" w:rsidP="00612741">
      <w:pPr>
        <w:pStyle w:val="Body"/>
      </w:pPr>
    </w:p>
    <w:p w:rsidR="00612741" w:rsidRDefault="00612741" w:rsidP="00612741">
      <w:pPr>
        <w:pStyle w:val="Body"/>
        <w:tabs>
          <w:tab w:val="left" w:pos="2135"/>
        </w:tabs>
        <w:ind w:left="2130" w:hanging="213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Present:</w:t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hAnsi="Arial"/>
          <w:sz w:val="22"/>
          <w:szCs w:val="22"/>
          <w:lang w:val="de-DE"/>
        </w:rPr>
        <w:t>Jenifer Burden, Cllr John Hacking, Catherine Hill OBE, Lisa O</w:t>
      </w:r>
      <w:r>
        <w:rPr>
          <w:rFonts w:ascii="Arial" w:hAnsi="Arial"/>
          <w:sz w:val="22"/>
          <w:szCs w:val="22"/>
        </w:rPr>
        <w:t>’</w:t>
      </w:r>
      <w:proofErr w:type="spellStart"/>
      <w:r>
        <w:rPr>
          <w:rFonts w:ascii="Arial" w:hAnsi="Arial"/>
          <w:sz w:val="22"/>
          <w:szCs w:val="22"/>
        </w:rPr>
        <w:t>Loughlin</w:t>
      </w:r>
      <w:proofErr w:type="spellEnd"/>
      <w:r>
        <w:rPr>
          <w:rFonts w:ascii="Arial" w:hAnsi="Arial"/>
          <w:sz w:val="22"/>
          <w:szCs w:val="22"/>
        </w:rPr>
        <w:t xml:space="preserve"> (Principal),</w:t>
      </w:r>
      <w:r>
        <w:t xml:space="preserve"> </w:t>
      </w:r>
      <w:r w:rsidRPr="00293CF9">
        <w:rPr>
          <w:rFonts w:ascii="Arial" w:hAnsi="Arial" w:cs="Arial"/>
          <w:sz w:val="22"/>
          <w:szCs w:val="22"/>
        </w:rPr>
        <w:t xml:space="preserve">Mathew </w:t>
      </w:r>
      <w:proofErr w:type="spellStart"/>
      <w:r w:rsidRPr="00293CF9">
        <w:rPr>
          <w:rFonts w:ascii="Arial" w:hAnsi="Arial" w:cs="Arial"/>
          <w:sz w:val="22"/>
          <w:szCs w:val="22"/>
        </w:rPr>
        <w:t>Maile</w:t>
      </w:r>
      <w:proofErr w:type="spellEnd"/>
      <w:r>
        <w:t xml:space="preserve">, </w:t>
      </w:r>
      <w:r>
        <w:rPr>
          <w:rFonts w:ascii="Arial" w:hAnsi="Arial"/>
          <w:sz w:val="22"/>
          <w:szCs w:val="22"/>
        </w:rPr>
        <w:t>Pauline Waterhouse OBE (Chair).</w:t>
      </w:r>
    </w:p>
    <w:p w:rsidR="00612741" w:rsidRDefault="00612741" w:rsidP="00612741">
      <w:pPr>
        <w:pStyle w:val="Body"/>
        <w:tabs>
          <w:tab w:val="left" w:pos="2135"/>
        </w:tabs>
        <w:ind w:left="2130" w:hanging="2130"/>
        <w:jc w:val="both"/>
        <w:rPr>
          <w:rFonts w:ascii="Arial" w:eastAsia="Arial" w:hAnsi="Arial" w:cs="Arial"/>
          <w:sz w:val="22"/>
          <w:szCs w:val="22"/>
        </w:rPr>
      </w:pPr>
    </w:p>
    <w:p w:rsidR="00612741" w:rsidRDefault="00612741" w:rsidP="00612741">
      <w:pPr>
        <w:pStyle w:val="Body"/>
        <w:tabs>
          <w:tab w:val="left" w:pos="2135"/>
        </w:tabs>
        <w:ind w:left="2130" w:hanging="2130"/>
        <w:jc w:val="both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Apologies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Malcolm </w:t>
      </w:r>
      <w:proofErr w:type="spellStart"/>
      <w:r>
        <w:rPr>
          <w:rFonts w:ascii="Arial" w:hAnsi="Arial"/>
          <w:sz w:val="22"/>
          <w:szCs w:val="22"/>
        </w:rPr>
        <w:t>Sugden</w:t>
      </w:r>
      <w:proofErr w:type="spellEnd"/>
    </w:p>
    <w:p w:rsidR="00612741" w:rsidRDefault="00612741" w:rsidP="00612741">
      <w:pPr>
        <w:pStyle w:val="Body"/>
        <w:tabs>
          <w:tab w:val="left" w:pos="2135"/>
        </w:tabs>
        <w:ind w:left="2130" w:hanging="2130"/>
        <w:jc w:val="both"/>
        <w:rPr>
          <w:rFonts w:ascii="Arial" w:eastAsia="Arial" w:hAnsi="Arial" w:cs="Arial"/>
          <w:sz w:val="22"/>
          <w:szCs w:val="22"/>
        </w:rPr>
      </w:pPr>
    </w:p>
    <w:p w:rsidR="00612741" w:rsidRDefault="00612741" w:rsidP="00612741">
      <w:pPr>
        <w:pStyle w:val="Body"/>
        <w:ind w:left="2130" w:hanging="213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fr-FR"/>
        </w:rPr>
        <w:t>In Attendance:</w:t>
      </w:r>
      <w:r>
        <w:rPr>
          <w:rFonts w:ascii="Arial" w:hAnsi="Arial"/>
          <w:sz w:val="22"/>
          <w:szCs w:val="22"/>
          <w:lang w:val="fr-FR"/>
        </w:rPr>
        <w:tab/>
        <w:t>Rachel Curry (</w:t>
      </w:r>
      <w:r>
        <w:rPr>
          <w:rFonts w:ascii="Arial" w:hAnsi="Arial"/>
          <w:sz w:val="22"/>
          <w:szCs w:val="22"/>
        </w:rPr>
        <w:t xml:space="preserve">Vice Principal </w:t>
      </w:r>
      <w:r>
        <w:rPr>
          <w:rFonts w:ascii="Arial" w:hAnsi="Arial"/>
          <w:sz w:val="22"/>
          <w:szCs w:val="22"/>
          <w:lang w:val="fr-FR"/>
        </w:rPr>
        <w:t xml:space="preserve">- Planning and Performance), John Evans (Vice Principal - Quality and Standards), </w:t>
      </w:r>
      <w:r>
        <w:rPr>
          <w:rFonts w:ascii="Arial" w:hAnsi="Arial"/>
          <w:sz w:val="22"/>
          <w:szCs w:val="22"/>
        </w:rPr>
        <w:t>Lindsey Johnson (Vice Principal - HE Curriculum and Support), Christine Kenyon (Vice Principal FE), Kate Mackenzie (Deputy Company Secretary and Solicitor), Kile Moyana (Assistant Company Secretary and Legal Officer), Michael Walsh (Vice Principal and Dean - HE and Higher Skills)</w:t>
      </w:r>
    </w:p>
    <w:p w:rsidR="00612741" w:rsidRPr="005868E2" w:rsidRDefault="00612741" w:rsidP="005868E2">
      <w:pPr>
        <w:pStyle w:val="Body"/>
        <w:ind w:left="2130" w:hanging="2130"/>
        <w:jc w:val="both"/>
        <w:rPr>
          <w:rFonts w:ascii="Arial" w:eastAsia="Arial" w:hAnsi="Arial" w:cs="Arial"/>
          <w:color w:val="FF0000"/>
          <w:sz w:val="22"/>
          <w:szCs w:val="22"/>
          <w:u w:color="FF0000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612741" w:rsidRPr="00ED1DAC" w:rsidRDefault="00612741" w:rsidP="00612741">
      <w:pPr>
        <w:pStyle w:val="Body"/>
        <w:ind w:left="2130" w:hanging="2130"/>
        <w:jc w:val="both"/>
        <w:rPr>
          <w:rFonts w:ascii="Arial" w:eastAsia="Arial" w:hAnsi="Arial" w:cs="Arial"/>
          <w:iCs/>
          <w:sz w:val="22"/>
          <w:szCs w:val="22"/>
        </w:rPr>
      </w:pPr>
      <w:r w:rsidRPr="00ED1DAC">
        <w:rPr>
          <w:rFonts w:ascii="Arial" w:eastAsia="Arial" w:hAnsi="Arial" w:cs="Arial"/>
          <w:iCs/>
          <w:sz w:val="22"/>
          <w:szCs w:val="22"/>
        </w:rPr>
        <w:t>No declaration of interests were received</w:t>
      </w:r>
      <w:r>
        <w:rPr>
          <w:rFonts w:ascii="Arial" w:eastAsia="Arial" w:hAnsi="Arial" w:cs="Arial"/>
          <w:iCs/>
          <w:sz w:val="22"/>
          <w:szCs w:val="22"/>
        </w:rPr>
        <w:t>.</w:t>
      </w:r>
    </w:p>
    <w:p w:rsidR="005448F1" w:rsidRDefault="005448F1" w:rsidP="001C140C">
      <w:pPr>
        <w:ind w:left="2130" w:hanging="2130"/>
        <w:jc w:val="both"/>
        <w:rPr>
          <w:rFonts w:ascii="Arial" w:hAnsi="Arial" w:cs="Arial"/>
          <w:i/>
          <w:sz w:val="22"/>
          <w:szCs w:val="22"/>
        </w:rPr>
      </w:pPr>
    </w:p>
    <w:p w:rsidR="00F23B9E" w:rsidRPr="00612741" w:rsidRDefault="00783AA2" w:rsidP="001C140C">
      <w:pPr>
        <w:ind w:left="2130" w:hanging="2130"/>
        <w:jc w:val="both"/>
        <w:rPr>
          <w:rFonts w:ascii="Arial" w:hAnsi="Arial" w:cs="Arial"/>
          <w:b/>
          <w:color w:val="00B050"/>
          <w:sz w:val="22"/>
          <w:szCs w:val="22"/>
        </w:rPr>
      </w:pPr>
      <w:r>
        <w:rPr>
          <w:rFonts w:ascii="Arial" w:hAnsi="Arial" w:cs="Arial"/>
          <w:b/>
          <w:color w:val="00B050"/>
          <w:sz w:val="22"/>
          <w:szCs w:val="22"/>
        </w:rPr>
        <w:t>Part A</w:t>
      </w:r>
      <w:r w:rsidR="00612741" w:rsidRPr="00612741">
        <w:rPr>
          <w:rFonts w:ascii="Arial" w:hAnsi="Arial" w:cs="Arial"/>
          <w:b/>
          <w:color w:val="00B050"/>
          <w:sz w:val="22"/>
          <w:szCs w:val="22"/>
        </w:rPr>
        <w:t xml:space="preserve"> </w:t>
      </w:r>
    </w:p>
    <w:tbl>
      <w:tblPr>
        <w:tblStyle w:val="TableGrid"/>
        <w:tblW w:w="5049" w:type="pct"/>
        <w:tblLook w:val="04A0" w:firstRow="1" w:lastRow="0" w:firstColumn="1" w:lastColumn="0" w:noHBand="0" w:noVBand="1"/>
      </w:tblPr>
      <w:tblGrid>
        <w:gridCol w:w="821"/>
        <w:gridCol w:w="8283"/>
      </w:tblGrid>
      <w:tr w:rsidR="00612741" w:rsidRPr="00852640" w:rsidTr="0068472B">
        <w:tc>
          <w:tcPr>
            <w:tcW w:w="821" w:type="dxa"/>
          </w:tcPr>
          <w:p w:rsidR="00612741" w:rsidRDefault="00783AA2" w:rsidP="00612741">
            <w:pPr>
              <w:pStyle w:val="NoSpacing"/>
              <w:jc w:val="both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B050"/>
                <w:sz w:val="22"/>
                <w:szCs w:val="22"/>
              </w:rPr>
              <w:t>09</w:t>
            </w:r>
            <w:r w:rsidR="00612741">
              <w:rPr>
                <w:rFonts w:ascii="Arial" w:hAnsi="Arial" w:cs="Arial"/>
                <w:b/>
                <w:color w:val="00B050"/>
                <w:sz w:val="22"/>
                <w:szCs w:val="22"/>
              </w:rPr>
              <w:t>/19</w:t>
            </w:r>
          </w:p>
        </w:tc>
        <w:tc>
          <w:tcPr>
            <w:tcW w:w="8283" w:type="dxa"/>
          </w:tcPr>
          <w:p w:rsidR="00783AA2" w:rsidRDefault="00783AA2" w:rsidP="00783AA2">
            <w:pPr>
              <w:pStyle w:val="Body"/>
              <w:spacing w:line="240" w:lineRule="auto"/>
              <w:jc w:val="both"/>
              <w:rPr>
                <w:rFonts w:ascii="Arial" w:eastAsia="Arial" w:hAnsi="Arial" w:cs="Arial"/>
                <w:b/>
                <w:bCs/>
                <w:color w:val="00B050"/>
                <w:sz w:val="22"/>
                <w:szCs w:val="22"/>
                <w:u w:color="00B050"/>
              </w:rPr>
            </w:pPr>
            <w:r>
              <w:rPr>
                <w:rFonts w:ascii="Arial" w:hAnsi="Arial"/>
                <w:b/>
                <w:bCs/>
                <w:color w:val="00B050"/>
                <w:sz w:val="22"/>
                <w:szCs w:val="22"/>
                <w:u w:color="00B050"/>
              </w:rPr>
              <w:t>Minutes of the meeting held on 8</w:t>
            </w:r>
            <w:r w:rsidRPr="006511C3">
              <w:rPr>
                <w:rFonts w:ascii="Arial" w:hAnsi="Arial"/>
                <w:b/>
                <w:bCs/>
                <w:color w:val="00B050"/>
                <w:sz w:val="22"/>
                <w:szCs w:val="22"/>
                <w:u w:color="00B050"/>
                <w:vertAlign w:val="superscript"/>
              </w:rPr>
              <w:t>th</w:t>
            </w:r>
            <w:r>
              <w:rPr>
                <w:rFonts w:ascii="Arial" w:hAnsi="Arial"/>
                <w:b/>
                <w:bCs/>
                <w:color w:val="00B050"/>
                <w:sz w:val="22"/>
                <w:szCs w:val="22"/>
                <w:u w:color="00B050"/>
              </w:rPr>
              <w:t xml:space="preserve"> February 2019 </w:t>
            </w:r>
          </w:p>
          <w:p w:rsidR="00783AA2" w:rsidRDefault="00783AA2" w:rsidP="00783AA2">
            <w:pPr>
              <w:pStyle w:val="Body"/>
              <w:spacing w:line="24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83AA2" w:rsidRDefault="00783AA2" w:rsidP="00783AA2">
            <w:pPr>
              <w:pStyle w:val="NoSpacing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Part A minutes of the meeting held on 8 February 2019 were received and approved as a correct record.</w:t>
            </w:r>
          </w:p>
          <w:p w:rsidR="00612741" w:rsidRDefault="00612741" w:rsidP="00612741">
            <w:pPr>
              <w:pStyle w:val="NoSpacing"/>
              <w:jc w:val="both"/>
            </w:pPr>
          </w:p>
        </w:tc>
      </w:tr>
      <w:tr w:rsidR="00612741" w:rsidRPr="00852640" w:rsidTr="0068472B">
        <w:tc>
          <w:tcPr>
            <w:tcW w:w="821" w:type="dxa"/>
          </w:tcPr>
          <w:p w:rsidR="00612741" w:rsidRDefault="00783AA2" w:rsidP="00612741">
            <w:pPr>
              <w:pStyle w:val="NoSpacing"/>
              <w:jc w:val="both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B050"/>
                <w:sz w:val="22"/>
                <w:szCs w:val="22"/>
              </w:rPr>
              <w:t>10</w:t>
            </w:r>
            <w:r w:rsidR="00612741">
              <w:rPr>
                <w:rFonts w:ascii="Arial" w:hAnsi="Arial" w:cs="Arial"/>
                <w:b/>
                <w:color w:val="00B050"/>
                <w:sz w:val="22"/>
                <w:szCs w:val="22"/>
              </w:rPr>
              <w:t xml:space="preserve">/19 </w:t>
            </w:r>
          </w:p>
        </w:tc>
        <w:tc>
          <w:tcPr>
            <w:tcW w:w="8283" w:type="dxa"/>
          </w:tcPr>
          <w:p w:rsidR="00783AA2" w:rsidRDefault="00783AA2" w:rsidP="00783AA2">
            <w:pPr>
              <w:pStyle w:val="Body"/>
              <w:ind w:left="34"/>
              <w:jc w:val="both"/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</w:pPr>
            <w:r w:rsidRPr="009369D9"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  <w:t>QIP Update</w:t>
            </w:r>
          </w:p>
          <w:p w:rsidR="00A847EB" w:rsidRPr="009369D9" w:rsidRDefault="00A847EB" w:rsidP="00783AA2">
            <w:pPr>
              <w:pStyle w:val="Body"/>
              <w:ind w:left="34"/>
              <w:jc w:val="both"/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</w:pPr>
          </w:p>
          <w:p w:rsidR="00A847EB" w:rsidRDefault="007377FB" w:rsidP="00DC257A">
            <w:pPr>
              <w:spacing w:line="240" w:lineRule="auto"/>
              <w:jc w:val="both"/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 xml:space="preserve">The </w:t>
            </w:r>
            <w:r w:rsidR="00A847EB">
              <w:rPr>
                <w:rFonts w:ascii="Arial" w:hAnsi="Arial"/>
                <w:sz w:val="22"/>
                <w:szCs w:val="22"/>
                <w:lang w:val="fr-FR"/>
              </w:rPr>
              <w:t>Vice Principal of Quality and Standards</w:t>
            </w:r>
            <w:r w:rsidR="00A847EB" w:rsidRPr="009369D9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 </w:t>
            </w:r>
            <w:r w:rsidR="00A847EB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>provided the B</w:t>
            </w:r>
            <w:r w:rsidR="00783AA2" w:rsidRPr="009369D9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oard with an update of the QIP. </w:t>
            </w:r>
            <w:r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>Discussion took place</w:t>
            </w:r>
            <w:r w:rsidR="00783AA2" w:rsidRPr="009369D9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 on </w:t>
            </w:r>
            <w:r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the </w:t>
            </w:r>
            <w:r w:rsidR="00783AA2" w:rsidRPr="009369D9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elements led by </w:t>
            </w:r>
            <w:r w:rsidR="00A847EB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>the different P</w:t>
            </w:r>
            <w:r w:rsidR="00783AA2" w:rsidRPr="009369D9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>rincipalship teams</w:t>
            </w:r>
            <w:r w:rsidR="00A847EB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 across the college</w:t>
            </w:r>
            <w:r w:rsidR="00783AA2" w:rsidRPr="009369D9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>. Strong</w:t>
            </w:r>
            <w:r w:rsidR="00A847EB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 progression was noted with four key </w:t>
            </w:r>
            <w:r w:rsidR="00783AA2" w:rsidRPr="009369D9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areas </w:t>
            </w:r>
            <w:r w:rsidR="00A847EB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that were </w:t>
            </w:r>
            <w:r w:rsidR="00783AA2" w:rsidRPr="009369D9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contributory to the </w:t>
            </w:r>
            <w:r w:rsidR="00A847EB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‘Good’ inspection outcome. The ‘In-Year’ academic position to date </w:t>
            </w:r>
            <w:r w:rsidR="00783AA2" w:rsidRPr="009369D9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denoted areas </w:t>
            </w:r>
            <w:r w:rsidR="00A847EB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that were still </w:t>
            </w:r>
            <w:r w:rsidR="00783AA2" w:rsidRPr="009369D9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work in progress. </w:t>
            </w:r>
          </w:p>
          <w:p w:rsidR="00A847EB" w:rsidRDefault="00A847EB" w:rsidP="00DC257A">
            <w:pPr>
              <w:spacing w:line="240" w:lineRule="auto"/>
              <w:jc w:val="both"/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</w:pPr>
          </w:p>
          <w:p w:rsidR="00783AA2" w:rsidRPr="009369D9" w:rsidRDefault="00783AA2" w:rsidP="00DC257A">
            <w:pPr>
              <w:spacing w:line="240" w:lineRule="auto"/>
              <w:jc w:val="both"/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</w:pPr>
            <w:r w:rsidRPr="009369D9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It was recorded that performance was better than expected </w:t>
            </w:r>
            <w:r w:rsidR="007377FB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>and remained</w:t>
            </w:r>
            <w:r w:rsidRPr="009369D9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 in </w:t>
            </w:r>
            <w:r w:rsidR="00A847EB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line with </w:t>
            </w:r>
            <w:r w:rsidR="007377FB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the </w:t>
            </w:r>
            <w:r w:rsidR="00A847EB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inspection judgement. However </w:t>
            </w:r>
            <w:r w:rsidR="007377FB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>five</w:t>
            </w:r>
            <w:r w:rsidR="00A847EB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 </w:t>
            </w:r>
            <w:r w:rsidRPr="009369D9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>curriculum are</w:t>
            </w:r>
            <w:r w:rsidR="00A847EB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>as in need of further intervention w</w:t>
            </w:r>
            <w:r w:rsidR="007377FB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>ere</w:t>
            </w:r>
            <w:r w:rsidR="00A847EB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 acknowledged.</w:t>
            </w:r>
          </w:p>
          <w:p w:rsidR="00783AA2" w:rsidRPr="009369D9" w:rsidRDefault="00783AA2" w:rsidP="00DC257A">
            <w:pPr>
              <w:spacing w:line="240" w:lineRule="auto"/>
              <w:jc w:val="both"/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</w:pPr>
          </w:p>
          <w:p w:rsidR="00A847EB" w:rsidRDefault="007377FB" w:rsidP="00DC257A">
            <w:pPr>
              <w:spacing w:line="240" w:lineRule="auto"/>
              <w:jc w:val="both"/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</w:pPr>
            <w:r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>Continuing improvement in quality</w:t>
            </w:r>
            <w:r w:rsidR="00783AA2" w:rsidRPr="009369D9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 was evident across the </w:t>
            </w:r>
            <w:r w:rsidR="00A847EB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>college</w:t>
            </w:r>
            <w:r w:rsidR="00783AA2" w:rsidRPr="009369D9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. It was </w:t>
            </w:r>
            <w:r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>confirmed</w:t>
            </w:r>
            <w:r w:rsidR="00783AA2" w:rsidRPr="009369D9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 that middle management training </w:t>
            </w:r>
            <w:r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>had been identified as an area for development</w:t>
            </w:r>
            <w:r w:rsidR="00783AA2" w:rsidRPr="009369D9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. </w:t>
            </w:r>
            <w:r w:rsidR="00A847EB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>Members were informed that upskilling of managers had</w:t>
            </w:r>
            <w:r w:rsidR="00783AA2" w:rsidRPr="009369D9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 been planned for the next </w:t>
            </w:r>
            <w:r w:rsidR="00A847EB" w:rsidRPr="009369D9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>academic</w:t>
            </w:r>
            <w:r w:rsidR="00783AA2" w:rsidRPr="009369D9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 year. The strands of management training would also encompass sessions for teachers at the next teachers’ conference. </w:t>
            </w:r>
          </w:p>
          <w:p w:rsidR="00A847EB" w:rsidRDefault="00A847EB" w:rsidP="00DC257A">
            <w:pPr>
              <w:spacing w:line="240" w:lineRule="auto"/>
              <w:jc w:val="both"/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</w:pPr>
          </w:p>
          <w:p w:rsidR="007377FB" w:rsidRDefault="007377FB" w:rsidP="00DC257A">
            <w:pPr>
              <w:spacing w:line="240" w:lineRule="auto"/>
              <w:jc w:val="both"/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</w:pPr>
            <w:r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lastRenderedPageBreak/>
              <w:t>Board members</w:t>
            </w:r>
            <w:r w:rsidR="00783AA2" w:rsidRPr="009369D9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 sought clarification on the target percentage rates. It was confirmed that focus was </w:t>
            </w:r>
            <w:r w:rsidR="00A847EB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now </w:t>
            </w:r>
            <w:r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on </w:t>
            </w:r>
            <w:r w:rsidR="00A847EB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>improv</w:t>
            </w:r>
            <w:r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>ing remaining</w:t>
            </w:r>
            <w:r w:rsidR="00A847EB"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 </w:t>
            </w:r>
            <w:r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  <w:t>grade 3 areas to grade 2, over a realistic period of time.</w:t>
            </w:r>
          </w:p>
          <w:p w:rsidR="00DC257A" w:rsidRDefault="00DC257A" w:rsidP="00DC257A">
            <w:pPr>
              <w:spacing w:line="240" w:lineRule="auto"/>
              <w:jc w:val="both"/>
              <w:rPr>
                <w:rFonts w:ascii="Arial" w:eastAsia="Calibri" w:hAnsi="Arial" w:cs="Calibri"/>
                <w:color w:val="000000"/>
                <w:sz w:val="22"/>
                <w:szCs w:val="22"/>
                <w:u w:color="000000"/>
                <w:lang w:eastAsia="en-GB"/>
              </w:rPr>
            </w:pPr>
          </w:p>
          <w:p w:rsidR="0068472B" w:rsidRPr="00DC257A" w:rsidRDefault="00783AA2" w:rsidP="00DC257A">
            <w:pPr>
              <w:spacing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</w:pPr>
            <w:r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>Members noted that a representation of comparison t</w:t>
            </w:r>
            <w:r w:rsidR="00A847EB"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>arget</w:t>
            </w:r>
            <w:r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 xml:space="preserve"> data would be useful at future meetings. </w:t>
            </w:r>
            <w:r w:rsidR="007377FB"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>The Board was pleased</w:t>
            </w:r>
            <w:r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 xml:space="preserve"> to note that improvement was </w:t>
            </w:r>
            <w:r w:rsidR="00A847EB"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 xml:space="preserve">beginning </w:t>
            </w:r>
            <w:r w:rsidR="007377FB"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>to be evidenced</w:t>
            </w:r>
            <w:r w:rsidR="00A847EB"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 xml:space="preserve"> </w:t>
            </w:r>
            <w:r w:rsidR="007377FB"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>in</w:t>
            </w:r>
            <w:r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 xml:space="preserve"> the </w:t>
            </w:r>
            <w:r w:rsidR="007377FB"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>five</w:t>
            </w:r>
            <w:r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 xml:space="preserve"> target areas.</w:t>
            </w:r>
          </w:p>
          <w:p w:rsidR="00783AA2" w:rsidRPr="00DC257A" w:rsidRDefault="00783AA2" w:rsidP="00DC257A">
            <w:pPr>
              <w:spacing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</w:pPr>
            <w:r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 xml:space="preserve"> </w:t>
            </w:r>
          </w:p>
          <w:p w:rsidR="00783AA2" w:rsidRPr="00DC257A" w:rsidRDefault="00DC257A" w:rsidP="00DC257A">
            <w:pPr>
              <w:spacing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</w:pPr>
            <w:r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 xml:space="preserve">The </w:t>
            </w:r>
            <w:proofErr w:type="spellStart"/>
            <w:r w:rsidR="00A847EB"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>Principal</w:t>
            </w:r>
            <w:r w:rsidR="00783AA2"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>ship</w:t>
            </w:r>
            <w:proofErr w:type="spellEnd"/>
            <w:r w:rsidR="00783AA2"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 xml:space="preserve"> detailed the challenges encountered within the Construction department, a curriculum area </w:t>
            </w:r>
            <w:r w:rsidR="00A847EB"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 xml:space="preserve">previously </w:t>
            </w:r>
            <w:r w:rsidR="00783AA2"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 xml:space="preserve">listed as requiring fundamental improvement. It was </w:t>
            </w:r>
            <w:r w:rsidR="00A847EB"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>recognised</w:t>
            </w:r>
            <w:r w:rsidR="00783AA2"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 xml:space="preserve"> that vacancies </w:t>
            </w:r>
            <w:r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>had been</w:t>
            </w:r>
            <w:r w:rsidR="00783AA2"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 xml:space="preserve"> hard to fill regardless of the various incentives and campaigns used to induce interest. Performance management routes were undertaken with the aim of identifying staff developmental and training needs. </w:t>
            </w:r>
          </w:p>
          <w:p w:rsidR="00DC257A" w:rsidRPr="00DC257A" w:rsidRDefault="00DC257A" w:rsidP="00DC257A">
            <w:pPr>
              <w:spacing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</w:pPr>
          </w:p>
          <w:p w:rsidR="00783AA2" w:rsidRPr="00DC257A" w:rsidRDefault="00DC257A" w:rsidP="00DC257A">
            <w:pPr>
              <w:spacing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</w:pPr>
            <w:r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>The challenges were acknowledged</w:t>
            </w:r>
            <w:r w:rsidR="00783AA2"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 xml:space="preserve"> </w:t>
            </w:r>
            <w:r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>and</w:t>
            </w:r>
            <w:r w:rsidR="00783AA2"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 xml:space="preserve"> </w:t>
            </w:r>
            <w:r w:rsidR="009C7C79"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 xml:space="preserve">the </w:t>
            </w:r>
            <w:proofErr w:type="spellStart"/>
            <w:r w:rsidR="00783AA2"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>Principalship</w:t>
            </w:r>
            <w:proofErr w:type="spellEnd"/>
            <w:r w:rsidR="00783AA2"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 xml:space="preserve"> </w:t>
            </w:r>
            <w:r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 xml:space="preserve">was encouraged </w:t>
            </w:r>
            <w:r w:rsidR="00783AA2"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>to showcase the college’s offering wh</w:t>
            </w:r>
            <w:r w:rsidR="009C7C79"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 xml:space="preserve">en reaching out to the city, </w:t>
            </w:r>
            <w:r w:rsidR="00783AA2"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>enhance</w:t>
            </w:r>
            <w:r w:rsidR="009C7C79"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 xml:space="preserve"> partnerships with employers,</w:t>
            </w:r>
            <w:r w:rsidR="00783AA2"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 xml:space="preserve"> </w:t>
            </w:r>
            <w:r w:rsidR="009C7C79"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>and enrich</w:t>
            </w:r>
            <w:r w:rsidR="00783AA2"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 xml:space="preserve"> website campaigns to boost partnerships with construction consortiums and to lead on </w:t>
            </w:r>
            <w:proofErr w:type="spellStart"/>
            <w:r w:rsidR="00783AA2"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>prioritisation</w:t>
            </w:r>
            <w:proofErr w:type="spellEnd"/>
            <w:r w:rsidR="00783AA2" w:rsidRPr="00DC257A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</w:rPr>
              <w:t xml:space="preserve"> of attracting T Levels expertise.</w:t>
            </w:r>
          </w:p>
          <w:p w:rsidR="00612741" w:rsidRDefault="00612741" w:rsidP="00612741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2741" w:rsidRDefault="00612741" w:rsidP="00612741">
            <w:pPr>
              <w:pStyle w:val="NoSpacing"/>
              <w:jc w:val="both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</w:p>
        </w:tc>
      </w:tr>
      <w:tr w:rsidR="00612741" w:rsidRPr="00852640" w:rsidTr="0068472B">
        <w:tc>
          <w:tcPr>
            <w:tcW w:w="821" w:type="dxa"/>
          </w:tcPr>
          <w:p w:rsidR="00612741" w:rsidRDefault="0068472B" w:rsidP="00612741">
            <w:pPr>
              <w:pStyle w:val="NoSpacing"/>
              <w:jc w:val="both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B050"/>
                <w:sz w:val="22"/>
                <w:szCs w:val="22"/>
              </w:rPr>
              <w:lastRenderedPageBreak/>
              <w:t>11</w:t>
            </w:r>
            <w:r w:rsidR="00612741">
              <w:rPr>
                <w:rFonts w:ascii="Arial" w:hAnsi="Arial" w:cs="Arial"/>
                <w:b/>
                <w:color w:val="00B050"/>
                <w:sz w:val="22"/>
                <w:szCs w:val="22"/>
              </w:rPr>
              <w:t>/19</w:t>
            </w:r>
          </w:p>
        </w:tc>
        <w:tc>
          <w:tcPr>
            <w:tcW w:w="8283" w:type="dxa"/>
          </w:tcPr>
          <w:p w:rsidR="0068472B" w:rsidRDefault="0068472B" w:rsidP="0068472B">
            <w:pPr>
              <w:pStyle w:val="Body"/>
              <w:jc w:val="both"/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</w:pPr>
            <w:r w:rsidRPr="009369D9"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  <w:t>Predicted Achievement Progress Update</w:t>
            </w:r>
          </w:p>
          <w:p w:rsidR="009C7C79" w:rsidRPr="009369D9" w:rsidRDefault="009C7C79" w:rsidP="0068472B">
            <w:pPr>
              <w:pStyle w:val="Body"/>
              <w:jc w:val="both"/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</w:pPr>
          </w:p>
          <w:p w:rsidR="0068472B" w:rsidRPr="009369D9" w:rsidRDefault="0068472B" w:rsidP="0068472B">
            <w:pPr>
              <w:pStyle w:val="Body"/>
              <w:spacing w:line="24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9369D9">
              <w:rPr>
                <w:rFonts w:ascii="Arial" w:hAnsi="Arial"/>
                <w:sz w:val="22"/>
                <w:szCs w:val="22"/>
              </w:rPr>
              <w:t xml:space="preserve">The Board received an update on </w:t>
            </w:r>
            <w:r w:rsidR="00893199">
              <w:rPr>
                <w:rFonts w:ascii="Arial" w:hAnsi="Arial"/>
                <w:sz w:val="22"/>
                <w:szCs w:val="22"/>
              </w:rPr>
              <w:t>‘</w:t>
            </w:r>
            <w:r w:rsidRPr="009369D9">
              <w:rPr>
                <w:rFonts w:ascii="Arial" w:hAnsi="Arial"/>
                <w:sz w:val="22"/>
                <w:szCs w:val="22"/>
              </w:rPr>
              <w:t>in year</w:t>
            </w:r>
            <w:r w:rsidR="00893199">
              <w:rPr>
                <w:rFonts w:ascii="Arial" w:hAnsi="Arial"/>
                <w:sz w:val="22"/>
                <w:szCs w:val="22"/>
              </w:rPr>
              <w:t>’</w:t>
            </w:r>
            <w:r w:rsidRPr="009369D9">
              <w:rPr>
                <w:rFonts w:ascii="Arial" w:hAnsi="Arial"/>
                <w:sz w:val="22"/>
                <w:szCs w:val="22"/>
              </w:rPr>
              <w:t xml:space="preserve"> progress outlining the </w:t>
            </w:r>
            <w:r w:rsidRPr="009C7C79">
              <w:rPr>
                <w:rFonts w:ascii="Arial" w:hAnsi="Arial"/>
                <w:sz w:val="22"/>
                <w:szCs w:val="22"/>
              </w:rPr>
              <w:t>likely out</w:t>
            </w:r>
            <w:r w:rsidR="009C7C79" w:rsidRPr="009C7C79">
              <w:rPr>
                <w:rFonts w:ascii="Arial" w:hAnsi="Arial"/>
                <w:sz w:val="22"/>
                <w:szCs w:val="22"/>
              </w:rPr>
              <w:t>-</w:t>
            </w:r>
            <w:r w:rsidRPr="009C7C79">
              <w:rPr>
                <w:rFonts w:ascii="Arial" w:hAnsi="Arial"/>
                <w:sz w:val="22"/>
                <w:szCs w:val="22"/>
              </w:rPr>
              <w:t>turn</w:t>
            </w:r>
            <w:r w:rsidRPr="009369D9">
              <w:rPr>
                <w:rFonts w:ascii="Arial" w:hAnsi="Arial"/>
                <w:sz w:val="22"/>
                <w:szCs w:val="22"/>
              </w:rPr>
              <w:t xml:space="preserve"> </w:t>
            </w:r>
            <w:r w:rsidR="009C7C79">
              <w:rPr>
                <w:rFonts w:ascii="Arial" w:hAnsi="Arial"/>
                <w:sz w:val="22"/>
                <w:szCs w:val="22"/>
              </w:rPr>
              <w:t>against</w:t>
            </w:r>
            <w:r w:rsidRPr="009369D9">
              <w:rPr>
                <w:rFonts w:ascii="Arial" w:hAnsi="Arial"/>
                <w:sz w:val="22"/>
                <w:szCs w:val="22"/>
              </w:rPr>
              <w:t xml:space="preserve"> the achievement rates. Although </w:t>
            </w:r>
            <w:r w:rsidR="00893199">
              <w:rPr>
                <w:rFonts w:ascii="Arial" w:hAnsi="Arial"/>
                <w:sz w:val="22"/>
                <w:szCs w:val="22"/>
              </w:rPr>
              <w:t>the structure and processes had</w:t>
            </w:r>
            <w:r w:rsidRPr="009369D9">
              <w:rPr>
                <w:rFonts w:ascii="Arial" w:hAnsi="Arial"/>
                <w:sz w:val="22"/>
                <w:szCs w:val="22"/>
              </w:rPr>
              <w:t xml:space="preserve"> been in pla</w:t>
            </w:r>
            <w:r w:rsidR="00893199">
              <w:rPr>
                <w:rFonts w:ascii="Arial" w:hAnsi="Arial"/>
                <w:sz w:val="22"/>
                <w:szCs w:val="22"/>
              </w:rPr>
              <w:t xml:space="preserve">ce for two full years, they were </w:t>
            </w:r>
            <w:r w:rsidRPr="009369D9">
              <w:rPr>
                <w:rFonts w:ascii="Arial" w:hAnsi="Arial"/>
                <w:sz w:val="22"/>
                <w:szCs w:val="22"/>
              </w:rPr>
              <w:t xml:space="preserve">yet to be fully embedded. </w:t>
            </w:r>
            <w:r w:rsidRPr="009C7C79">
              <w:rPr>
                <w:rFonts w:ascii="Arial" w:hAnsi="Arial"/>
                <w:sz w:val="22"/>
                <w:szCs w:val="22"/>
              </w:rPr>
              <w:t>The data evidenced</w:t>
            </w:r>
            <w:r w:rsidRPr="009369D9">
              <w:rPr>
                <w:rFonts w:ascii="Arial" w:hAnsi="Arial"/>
                <w:sz w:val="22"/>
                <w:szCs w:val="22"/>
              </w:rPr>
              <w:t xml:space="preserve"> a robustness in capturing progress and culture c</w:t>
            </w:r>
            <w:r w:rsidR="00893199">
              <w:rPr>
                <w:rFonts w:ascii="Arial" w:hAnsi="Arial"/>
                <w:sz w:val="22"/>
                <w:szCs w:val="22"/>
              </w:rPr>
              <w:t>hange by students. Teachers were more ‘</w:t>
            </w:r>
            <w:r w:rsidRPr="009369D9">
              <w:rPr>
                <w:rFonts w:ascii="Arial" w:hAnsi="Arial"/>
                <w:sz w:val="22"/>
                <w:szCs w:val="22"/>
              </w:rPr>
              <w:t>progress focused</w:t>
            </w:r>
            <w:r w:rsidR="00893199">
              <w:rPr>
                <w:rFonts w:ascii="Arial" w:hAnsi="Arial"/>
                <w:sz w:val="22"/>
                <w:szCs w:val="22"/>
              </w:rPr>
              <w:t>’</w:t>
            </w:r>
            <w:r w:rsidRPr="009369D9">
              <w:rPr>
                <w:rFonts w:ascii="Arial" w:hAnsi="Arial"/>
                <w:sz w:val="22"/>
                <w:szCs w:val="22"/>
              </w:rPr>
              <w:t xml:space="preserve"> with </w:t>
            </w:r>
            <w:r w:rsidR="009C7C79">
              <w:rPr>
                <w:rFonts w:ascii="Arial" w:hAnsi="Arial"/>
                <w:sz w:val="22"/>
                <w:szCs w:val="22"/>
              </w:rPr>
              <w:t xml:space="preserve">the </w:t>
            </w:r>
            <w:r w:rsidRPr="009369D9">
              <w:rPr>
                <w:rFonts w:ascii="Arial" w:hAnsi="Arial"/>
                <w:sz w:val="22"/>
                <w:szCs w:val="22"/>
              </w:rPr>
              <w:t xml:space="preserve">booster sessions for students </w:t>
            </w:r>
            <w:r w:rsidR="00893199">
              <w:rPr>
                <w:rFonts w:ascii="Arial" w:hAnsi="Arial"/>
                <w:sz w:val="22"/>
                <w:szCs w:val="22"/>
              </w:rPr>
              <w:t xml:space="preserve">now </w:t>
            </w:r>
            <w:r w:rsidRPr="009369D9">
              <w:rPr>
                <w:rFonts w:ascii="Arial" w:hAnsi="Arial"/>
                <w:sz w:val="22"/>
                <w:szCs w:val="22"/>
              </w:rPr>
              <w:t>full</w:t>
            </w:r>
            <w:r w:rsidR="00893199">
              <w:rPr>
                <w:rFonts w:ascii="Arial" w:hAnsi="Arial"/>
                <w:sz w:val="22"/>
                <w:szCs w:val="22"/>
              </w:rPr>
              <w:t>y</w:t>
            </w:r>
            <w:r w:rsidRPr="009369D9">
              <w:rPr>
                <w:rFonts w:ascii="Arial" w:hAnsi="Arial"/>
                <w:sz w:val="22"/>
                <w:szCs w:val="22"/>
              </w:rPr>
              <w:t xml:space="preserve"> embedded. </w:t>
            </w:r>
          </w:p>
          <w:p w:rsidR="0068472B" w:rsidRPr="009369D9" w:rsidRDefault="0068472B" w:rsidP="0068472B">
            <w:pPr>
              <w:pStyle w:val="Body"/>
              <w:spacing w:line="24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68472B" w:rsidRDefault="00EC0165" w:rsidP="0068472B">
            <w:pPr>
              <w:pStyle w:val="Body"/>
              <w:spacing w:line="24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Members</w:t>
            </w:r>
            <w:r w:rsidR="0068472B" w:rsidRPr="009369D9">
              <w:rPr>
                <w:rFonts w:ascii="Arial" w:hAnsi="Arial"/>
                <w:sz w:val="22"/>
                <w:szCs w:val="22"/>
              </w:rPr>
              <w:t xml:space="preserve"> were directed to Table 3 which </w:t>
            </w:r>
            <w:r w:rsidR="009C7C79">
              <w:rPr>
                <w:rFonts w:ascii="Arial" w:hAnsi="Arial"/>
                <w:sz w:val="22"/>
                <w:szCs w:val="22"/>
              </w:rPr>
              <w:t>depicted</w:t>
            </w:r>
            <w:r w:rsidR="0068472B" w:rsidRPr="009369D9">
              <w:rPr>
                <w:rFonts w:ascii="Arial" w:hAnsi="Arial"/>
                <w:sz w:val="22"/>
                <w:szCs w:val="22"/>
              </w:rPr>
              <w:t xml:space="preserve"> a positive </w:t>
            </w:r>
            <w:r w:rsidR="009C7C79">
              <w:rPr>
                <w:rFonts w:ascii="Arial" w:hAnsi="Arial"/>
                <w:sz w:val="22"/>
                <w:szCs w:val="22"/>
              </w:rPr>
              <w:t>trajectory</w:t>
            </w:r>
            <w:r w:rsidR="00AA1177">
              <w:rPr>
                <w:rFonts w:ascii="Arial" w:hAnsi="Arial"/>
                <w:sz w:val="22"/>
                <w:szCs w:val="22"/>
              </w:rPr>
              <w:t xml:space="preserve"> on progress</w:t>
            </w:r>
            <w:r w:rsidR="0068472B" w:rsidRPr="009369D9">
              <w:rPr>
                <w:rFonts w:ascii="Arial" w:hAnsi="Arial"/>
                <w:sz w:val="22"/>
                <w:szCs w:val="22"/>
              </w:rPr>
              <w:t xml:space="preserve">. It was </w:t>
            </w:r>
            <w:r w:rsidR="00AA1177">
              <w:rPr>
                <w:rFonts w:ascii="Arial" w:hAnsi="Arial"/>
                <w:sz w:val="22"/>
                <w:szCs w:val="22"/>
              </w:rPr>
              <w:t xml:space="preserve">noted </w:t>
            </w:r>
            <w:r w:rsidR="0068472B" w:rsidRPr="009369D9">
              <w:rPr>
                <w:rFonts w:ascii="Arial" w:hAnsi="Arial"/>
                <w:sz w:val="22"/>
                <w:szCs w:val="22"/>
              </w:rPr>
              <w:t xml:space="preserve">that significant measures were set on BTEC for ALPs with the data </w:t>
            </w:r>
            <w:r w:rsidR="00AA1177">
              <w:rPr>
                <w:rFonts w:ascii="Arial" w:hAnsi="Arial"/>
                <w:sz w:val="22"/>
                <w:szCs w:val="22"/>
              </w:rPr>
              <w:t xml:space="preserve">providing </w:t>
            </w:r>
            <w:r w:rsidR="0068472B" w:rsidRPr="009369D9">
              <w:rPr>
                <w:rFonts w:ascii="Arial" w:hAnsi="Arial"/>
                <w:sz w:val="22"/>
                <w:szCs w:val="22"/>
              </w:rPr>
              <w:t xml:space="preserve">confidence </w:t>
            </w:r>
            <w:r w:rsidR="00AA1177">
              <w:rPr>
                <w:rFonts w:ascii="Arial" w:hAnsi="Arial"/>
                <w:sz w:val="22"/>
                <w:szCs w:val="22"/>
              </w:rPr>
              <w:t>that set targets were achievable</w:t>
            </w:r>
            <w:r w:rsidR="0068472B" w:rsidRPr="009369D9">
              <w:rPr>
                <w:rFonts w:ascii="Arial" w:hAnsi="Arial"/>
                <w:sz w:val="22"/>
                <w:szCs w:val="22"/>
              </w:rPr>
              <w:t xml:space="preserve">. It was confirmed that vocational courses </w:t>
            </w:r>
            <w:r>
              <w:rPr>
                <w:rFonts w:ascii="Arial" w:hAnsi="Arial"/>
                <w:sz w:val="22"/>
                <w:szCs w:val="22"/>
              </w:rPr>
              <w:t>remained</w:t>
            </w:r>
            <w:r w:rsidR="0068472B" w:rsidRPr="009369D9">
              <w:rPr>
                <w:rFonts w:ascii="Arial" w:hAnsi="Arial"/>
                <w:sz w:val="22"/>
                <w:szCs w:val="22"/>
              </w:rPr>
              <w:t xml:space="preserve"> on target. In respect of internal measures, significant improvements were noted within the college rather than within ALPs giving the Principalship the opportunity to explore high grade achievement.</w:t>
            </w:r>
          </w:p>
          <w:p w:rsidR="00AA1177" w:rsidRPr="009369D9" w:rsidRDefault="00AA1177" w:rsidP="0068472B">
            <w:pPr>
              <w:pStyle w:val="Body"/>
              <w:spacing w:line="24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68472B" w:rsidRPr="009369D9" w:rsidRDefault="0068472B" w:rsidP="0068472B">
            <w:pPr>
              <w:pStyle w:val="Body"/>
              <w:spacing w:line="24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9369D9">
              <w:rPr>
                <w:rFonts w:ascii="Arial" w:hAnsi="Arial"/>
                <w:sz w:val="22"/>
                <w:szCs w:val="22"/>
              </w:rPr>
              <w:t xml:space="preserve">A level performance </w:t>
            </w:r>
            <w:r w:rsidR="00EC0165">
              <w:rPr>
                <w:rFonts w:ascii="Arial" w:hAnsi="Arial"/>
                <w:sz w:val="22"/>
                <w:szCs w:val="22"/>
              </w:rPr>
              <w:t>evidenced</w:t>
            </w:r>
            <w:r w:rsidRPr="009369D9">
              <w:rPr>
                <w:rFonts w:ascii="Arial" w:hAnsi="Arial"/>
                <w:sz w:val="22"/>
                <w:szCs w:val="22"/>
              </w:rPr>
              <w:t xml:space="preserve"> a disappointing picture </w:t>
            </w:r>
            <w:r w:rsidR="00AA1177">
              <w:rPr>
                <w:rFonts w:ascii="Arial" w:hAnsi="Arial"/>
                <w:sz w:val="22"/>
                <w:szCs w:val="22"/>
              </w:rPr>
              <w:t>on progress</w:t>
            </w:r>
            <w:r w:rsidRPr="009369D9">
              <w:rPr>
                <w:rFonts w:ascii="Arial" w:hAnsi="Arial"/>
                <w:sz w:val="22"/>
                <w:szCs w:val="22"/>
              </w:rPr>
              <w:t xml:space="preserve">. With respect to A Level mock exams, it was highlighted that </w:t>
            </w:r>
            <w:r w:rsidR="00AA7E80">
              <w:rPr>
                <w:rFonts w:ascii="Arial" w:hAnsi="Arial"/>
                <w:sz w:val="22"/>
                <w:szCs w:val="22"/>
              </w:rPr>
              <w:t xml:space="preserve">a lack of confidence in some </w:t>
            </w:r>
            <w:r w:rsidRPr="009369D9">
              <w:rPr>
                <w:rFonts w:ascii="Arial" w:hAnsi="Arial"/>
                <w:sz w:val="22"/>
                <w:szCs w:val="22"/>
              </w:rPr>
              <w:t xml:space="preserve">teachers </w:t>
            </w:r>
            <w:r w:rsidR="00AA7E80">
              <w:rPr>
                <w:rFonts w:ascii="Arial" w:hAnsi="Arial"/>
                <w:sz w:val="22"/>
                <w:szCs w:val="22"/>
              </w:rPr>
              <w:t>could have contributed to a dip in student</w:t>
            </w:r>
            <w:r w:rsidRPr="009369D9">
              <w:rPr>
                <w:rFonts w:ascii="Arial" w:hAnsi="Arial"/>
                <w:sz w:val="22"/>
                <w:szCs w:val="22"/>
              </w:rPr>
              <w:t xml:space="preserve"> motivation. In response to a query on delivery of mock exams, it was </w:t>
            </w:r>
            <w:r w:rsidR="00AA7E80">
              <w:rPr>
                <w:rFonts w:ascii="Arial" w:hAnsi="Arial"/>
                <w:sz w:val="22"/>
                <w:szCs w:val="22"/>
              </w:rPr>
              <w:t xml:space="preserve">confirmed that </w:t>
            </w:r>
            <w:r w:rsidRPr="009369D9">
              <w:rPr>
                <w:rFonts w:ascii="Arial" w:hAnsi="Arial"/>
                <w:sz w:val="22"/>
                <w:szCs w:val="22"/>
              </w:rPr>
              <w:t xml:space="preserve">a more holistic view </w:t>
            </w:r>
            <w:r w:rsidR="00AA7E80">
              <w:rPr>
                <w:rFonts w:ascii="Arial" w:hAnsi="Arial"/>
                <w:sz w:val="22"/>
                <w:szCs w:val="22"/>
              </w:rPr>
              <w:t>of the student journey would be beneficial</w:t>
            </w:r>
            <w:r w:rsidRPr="009369D9">
              <w:rPr>
                <w:rFonts w:ascii="Arial" w:hAnsi="Arial"/>
                <w:sz w:val="22"/>
                <w:szCs w:val="22"/>
              </w:rPr>
              <w:t xml:space="preserve">. Members were reassured that staff </w:t>
            </w:r>
            <w:r w:rsidR="00AA7E80">
              <w:rPr>
                <w:rFonts w:ascii="Arial" w:hAnsi="Arial"/>
                <w:sz w:val="22"/>
                <w:szCs w:val="22"/>
              </w:rPr>
              <w:t>were</w:t>
            </w:r>
            <w:r w:rsidRPr="009369D9">
              <w:rPr>
                <w:rFonts w:ascii="Arial" w:hAnsi="Arial"/>
                <w:sz w:val="22"/>
                <w:szCs w:val="22"/>
              </w:rPr>
              <w:t xml:space="preserve"> aware of direction of travel and well committed as the process to wind down A Level provision had begun. </w:t>
            </w:r>
            <w:r w:rsidR="00AA7E80">
              <w:rPr>
                <w:rFonts w:ascii="Arial" w:hAnsi="Arial"/>
                <w:sz w:val="22"/>
                <w:szCs w:val="22"/>
              </w:rPr>
              <w:t>It was agreed that progress to date confirmed the decision to withdraw from A level provision as the right one for the institution at this time</w:t>
            </w:r>
            <w:r w:rsidRPr="009369D9">
              <w:rPr>
                <w:rFonts w:ascii="Arial" w:hAnsi="Arial"/>
                <w:sz w:val="22"/>
                <w:szCs w:val="22"/>
              </w:rPr>
              <w:t xml:space="preserve">. It was decided a timeline of withdrawal would be brought to the next meeting in order </w:t>
            </w:r>
            <w:r w:rsidR="00AA7E80">
              <w:rPr>
                <w:rFonts w:ascii="Arial" w:hAnsi="Arial"/>
                <w:sz w:val="22"/>
                <w:szCs w:val="22"/>
              </w:rPr>
              <w:t xml:space="preserve">to receive assurance </w:t>
            </w:r>
            <w:r w:rsidRPr="009369D9">
              <w:rPr>
                <w:rFonts w:ascii="Arial" w:hAnsi="Arial"/>
                <w:sz w:val="22"/>
                <w:szCs w:val="22"/>
              </w:rPr>
              <w:t xml:space="preserve">that the withdrawal process </w:t>
            </w:r>
            <w:r w:rsidR="00AA7E80">
              <w:rPr>
                <w:rFonts w:ascii="Arial" w:hAnsi="Arial"/>
                <w:sz w:val="22"/>
                <w:szCs w:val="22"/>
              </w:rPr>
              <w:t>would be</w:t>
            </w:r>
            <w:r w:rsidRPr="009369D9">
              <w:rPr>
                <w:rFonts w:ascii="Arial" w:hAnsi="Arial"/>
                <w:sz w:val="22"/>
                <w:szCs w:val="22"/>
              </w:rPr>
              <w:t xml:space="preserve"> managed effectively with the last cohort of 2020. </w:t>
            </w:r>
            <w:r w:rsidR="00AA7E80">
              <w:rPr>
                <w:rFonts w:ascii="Arial" w:hAnsi="Arial"/>
                <w:sz w:val="22"/>
                <w:szCs w:val="22"/>
              </w:rPr>
              <w:t xml:space="preserve">The Principal was reminded of the need to maintain </w:t>
            </w:r>
            <w:r w:rsidR="00AA7E80" w:rsidRPr="009369D9">
              <w:rPr>
                <w:rFonts w:ascii="Arial" w:hAnsi="Arial"/>
                <w:sz w:val="22"/>
                <w:szCs w:val="22"/>
              </w:rPr>
              <w:t>a</w:t>
            </w:r>
            <w:r w:rsidR="00AA7E80">
              <w:rPr>
                <w:rFonts w:ascii="Arial" w:hAnsi="Arial"/>
                <w:sz w:val="22"/>
                <w:szCs w:val="22"/>
              </w:rPr>
              <w:t xml:space="preserve"> highly ethical stance during this period.</w:t>
            </w:r>
          </w:p>
          <w:p w:rsidR="0068472B" w:rsidRPr="009369D9" w:rsidRDefault="0068472B" w:rsidP="0068472B">
            <w:pPr>
              <w:pStyle w:val="Body"/>
              <w:spacing w:line="24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68472B" w:rsidRPr="009369D9" w:rsidRDefault="00AA7E80" w:rsidP="0068472B">
            <w:pPr>
              <w:pStyle w:val="Body"/>
              <w:spacing w:line="24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Discussion took place on</w:t>
            </w:r>
            <w:r w:rsidR="0068472B" w:rsidRPr="009369D9">
              <w:rPr>
                <w:rFonts w:ascii="Arial" w:hAnsi="Arial"/>
                <w:sz w:val="22"/>
                <w:szCs w:val="22"/>
              </w:rPr>
              <w:t xml:space="preserve"> the ethos on </w:t>
            </w:r>
            <w:r w:rsidR="00AA1177">
              <w:rPr>
                <w:rFonts w:ascii="Arial" w:hAnsi="Arial"/>
                <w:sz w:val="22"/>
                <w:szCs w:val="22"/>
              </w:rPr>
              <w:t>‘</w:t>
            </w:r>
            <w:r w:rsidR="0068472B" w:rsidRPr="009369D9">
              <w:rPr>
                <w:rFonts w:ascii="Arial" w:hAnsi="Arial"/>
                <w:sz w:val="22"/>
                <w:szCs w:val="22"/>
              </w:rPr>
              <w:t>careers</w:t>
            </w:r>
            <w:r w:rsidR="00AA1177">
              <w:rPr>
                <w:rFonts w:ascii="Arial" w:hAnsi="Arial"/>
                <w:sz w:val="22"/>
                <w:szCs w:val="22"/>
              </w:rPr>
              <w:t>’</w:t>
            </w:r>
            <w:r w:rsidR="0068472B" w:rsidRPr="009369D9">
              <w:rPr>
                <w:rFonts w:ascii="Arial" w:hAnsi="Arial"/>
                <w:sz w:val="22"/>
                <w:szCs w:val="22"/>
              </w:rPr>
              <w:t xml:space="preserve"> not courses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r w:rsidR="0068472B" w:rsidRPr="009369D9">
              <w:rPr>
                <w:rFonts w:ascii="Arial" w:hAnsi="Arial"/>
                <w:sz w:val="22"/>
                <w:szCs w:val="22"/>
              </w:rPr>
              <w:t xml:space="preserve"> Reassurance was given that clear and transparent discussions were already taking place with the 16 P</w:t>
            </w:r>
            <w:r w:rsidR="00AA1177">
              <w:rPr>
                <w:rFonts w:ascii="Arial" w:hAnsi="Arial"/>
                <w:sz w:val="22"/>
                <w:szCs w:val="22"/>
              </w:rPr>
              <w:t>lus consortium and that there was</w:t>
            </w:r>
            <w:r w:rsidR="0068472B" w:rsidRPr="009369D9">
              <w:rPr>
                <w:rFonts w:ascii="Arial" w:hAnsi="Arial"/>
                <w:sz w:val="22"/>
                <w:szCs w:val="22"/>
              </w:rPr>
              <w:t xml:space="preserve"> a genuine intent on strong partnerships with high performing sixth form colleges to offer some provision for the college. </w:t>
            </w:r>
          </w:p>
          <w:p w:rsidR="00E81BE1" w:rsidRDefault="0068472B" w:rsidP="0068472B">
            <w:pPr>
              <w:pStyle w:val="Body"/>
              <w:spacing w:line="24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9369D9">
              <w:rPr>
                <w:rFonts w:ascii="Arial" w:hAnsi="Arial"/>
                <w:sz w:val="22"/>
                <w:szCs w:val="22"/>
              </w:rPr>
              <w:t xml:space="preserve">In response to a query on differentiated high grades against inspection outcomes with levels 1 and 2 not as strong as level 3, it was explained that it was </w:t>
            </w:r>
            <w:r w:rsidR="00893199">
              <w:rPr>
                <w:rFonts w:ascii="Arial" w:hAnsi="Arial"/>
                <w:sz w:val="22"/>
                <w:szCs w:val="22"/>
              </w:rPr>
              <w:t xml:space="preserve">a </w:t>
            </w:r>
            <w:r w:rsidRPr="009369D9">
              <w:rPr>
                <w:rFonts w:ascii="Arial" w:hAnsi="Arial"/>
                <w:sz w:val="22"/>
                <w:szCs w:val="22"/>
              </w:rPr>
              <w:t>weighted</w:t>
            </w:r>
            <w:r w:rsidR="00893199">
              <w:rPr>
                <w:rFonts w:ascii="Arial" w:hAnsi="Arial"/>
                <w:sz w:val="22"/>
                <w:szCs w:val="22"/>
              </w:rPr>
              <w:t xml:space="preserve"> calculation</w:t>
            </w:r>
            <w:r w:rsidR="00AA1177">
              <w:rPr>
                <w:rFonts w:ascii="Arial" w:hAnsi="Arial"/>
                <w:sz w:val="22"/>
                <w:szCs w:val="22"/>
              </w:rPr>
              <w:t xml:space="preserve">. </w:t>
            </w:r>
            <w:r w:rsidRPr="009369D9">
              <w:rPr>
                <w:rFonts w:ascii="Arial" w:hAnsi="Arial"/>
                <w:sz w:val="22"/>
                <w:szCs w:val="22"/>
              </w:rPr>
              <w:t xml:space="preserve">Increasingly the focus had </w:t>
            </w:r>
            <w:r w:rsidR="00E81BE1">
              <w:rPr>
                <w:rFonts w:ascii="Arial" w:hAnsi="Arial"/>
                <w:sz w:val="22"/>
                <w:szCs w:val="22"/>
              </w:rPr>
              <w:t xml:space="preserve">now </w:t>
            </w:r>
            <w:r w:rsidRPr="009369D9">
              <w:rPr>
                <w:rFonts w:ascii="Arial" w:hAnsi="Arial"/>
                <w:sz w:val="22"/>
                <w:szCs w:val="22"/>
              </w:rPr>
              <w:t>shifted to depth</w:t>
            </w:r>
            <w:r w:rsidR="00E81BE1">
              <w:rPr>
                <w:rFonts w:ascii="Arial" w:hAnsi="Arial"/>
                <w:sz w:val="22"/>
                <w:szCs w:val="22"/>
              </w:rPr>
              <w:t>s</w:t>
            </w:r>
            <w:r w:rsidRPr="009369D9">
              <w:rPr>
                <w:rFonts w:ascii="Arial" w:hAnsi="Arial"/>
                <w:sz w:val="22"/>
                <w:szCs w:val="22"/>
              </w:rPr>
              <w:t xml:space="preserve"> of learning, teachers’ articulation and students understanding of the subjects. This would reinforce teaching and learning to the top</w:t>
            </w:r>
            <w:r w:rsidR="00E81BE1">
              <w:rPr>
                <w:rFonts w:ascii="Arial" w:hAnsi="Arial"/>
                <w:sz w:val="22"/>
                <w:szCs w:val="22"/>
              </w:rPr>
              <w:t xml:space="preserve"> to achieve and/or exceed grades</w:t>
            </w:r>
            <w:r w:rsidRPr="009369D9">
              <w:rPr>
                <w:rFonts w:ascii="Arial" w:hAnsi="Arial"/>
                <w:sz w:val="22"/>
                <w:szCs w:val="22"/>
              </w:rPr>
              <w:t xml:space="preserve">. </w:t>
            </w:r>
          </w:p>
          <w:p w:rsidR="00E81BE1" w:rsidRDefault="00E81BE1" w:rsidP="0068472B">
            <w:pPr>
              <w:pStyle w:val="Body"/>
              <w:spacing w:line="24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68472B" w:rsidRPr="009369D9" w:rsidRDefault="00AA7E80" w:rsidP="0068472B">
            <w:pPr>
              <w:pStyle w:val="Body"/>
              <w:spacing w:line="24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Members</w:t>
            </w:r>
            <w:r w:rsidR="0068472B" w:rsidRPr="009369D9">
              <w:rPr>
                <w:rFonts w:ascii="Arial" w:hAnsi="Arial"/>
                <w:sz w:val="22"/>
                <w:szCs w:val="22"/>
              </w:rPr>
              <w:t xml:space="preserve"> challenged the team to address the issue of ethos around teaching </w:t>
            </w:r>
            <w:r w:rsidR="00E81BE1">
              <w:rPr>
                <w:rFonts w:ascii="Arial" w:hAnsi="Arial"/>
                <w:sz w:val="22"/>
                <w:szCs w:val="22"/>
              </w:rPr>
              <w:t>which was regarded as an enabler for achieving ‘Outstanding’. The college need</w:t>
            </w:r>
            <w:r>
              <w:rPr>
                <w:rFonts w:ascii="Arial" w:hAnsi="Arial"/>
                <w:sz w:val="22"/>
                <w:szCs w:val="22"/>
              </w:rPr>
              <w:t>ed</w:t>
            </w:r>
            <w:r w:rsidR="00E81BE1">
              <w:rPr>
                <w:rFonts w:ascii="Arial" w:hAnsi="Arial"/>
                <w:sz w:val="22"/>
                <w:szCs w:val="22"/>
              </w:rPr>
              <w:t xml:space="preserve"> to demonstrate that students were being stretched to achieve, for </w:t>
            </w:r>
            <w:r w:rsidR="0068472B" w:rsidRPr="009369D9">
              <w:rPr>
                <w:rFonts w:ascii="Arial" w:hAnsi="Arial"/>
                <w:sz w:val="22"/>
                <w:szCs w:val="22"/>
              </w:rPr>
              <w:t xml:space="preserve">staff to be more confident when imparting knowledge and achieve the breadth and depth of learning. </w:t>
            </w:r>
          </w:p>
          <w:p w:rsidR="0068472B" w:rsidRPr="009369D9" w:rsidRDefault="0068472B" w:rsidP="0068472B">
            <w:pPr>
              <w:pStyle w:val="Body"/>
              <w:spacing w:line="24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68472B" w:rsidRPr="009369D9" w:rsidRDefault="0068472B" w:rsidP="0068472B">
            <w:pPr>
              <w:pStyle w:val="Body"/>
              <w:spacing w:line="24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9369D9">
              <w:rPr>
                <w:rFonts w:ascii="Arial" w:hAnsi="Arial"/>
                <w:sz w:val="22"/>
                <w:szCs w:val="22"/>
              </w:rPr>
              <w:t>In closing on this item, members requested the inclusion of functional skills data analysis within this report going</w:t>
            </w:r>
            <w:r>
              <w:rPr>
                <w:rFonts w:ascii="Arial" w:hAnsi="Arial"/>
                <w:sz w:val="22"/>
                <w:szCs w:val="22"/>
              </w:rPr>
              <w:t xml:space="preserve"> forward</w:t>
            </w:r>
            <w:r w:rsidRPr="009369D9">
              <w:rPr>
                <w:rFonts w:ascii="Arial" w:hAnsi="Arial"/>
                <w:sz w:val="22"/>
                <w:szCs w:val="22"/>
              </w:rPr>
              <w:t>.</w:t>
            </w:r>
          </w:p>
          <w:p w:rsidR="00612741" w:rsidRPr="00E113E8" w:rsidRDefault="00612741" w:rsidP="0068472B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612741" w:rsidRPr="00E113E8" w:rsidRDefault="00612741" w:rsidP="00612741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612741" w:rsidRPr="00852640" w:rsidTr="0068472B">
        <w:tc>
          <w:tcPr>
            <w:tcW w:w="821" w:type="dxa"/>
          </w:tcPr>
          <w:p w:rsidR="00612741" w:rsidRDefault="0068472B" w:rsidP="00612741">
            <w:pPr>
              <w:pStyle w:val="NoSpacing"/>
              <w:jc w:val="both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B050"/>
                <w:sz w:val="22"/>
                <w:szCs w:val="22"/>
              </w:rPr>
              <w:lastRenderedPageBreak/>
              <w:t>12</w:t>
            </w:r>
            <w:r w:rsidR="00612741">
              <w:rPr>
                <w:rFonts w:ascii="Arial" w:hAnsi="Arial" w:cs="Arial"/>
                <w:b/>
                <w:color w:val="00B050"/>
                <w:sz w:val="22"/>
                <w:szCs w:val="22"/>
              </w:rPr>
              <w:t>/19</w:t>
            </w:r>
          </w:p>
        </w:tc>
        <w:tc>
          <w:tcPr>
            <w:tcW w:w="8283" w:type="dxa"/>
          </w:tcPr>
          <w:p w:rsidR="0068472B" w:rsidRDefault="0068472B" w:rsidP="0068472B">
            <w:pPr>
              <w:pStyle w:val="Body"/>
              <w:ind w:left="34"/>
              <w:jc w:val="both"/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</w:pPr>
            <w:r w:rsidRPr="009369D9"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  <w:t>Equality and Diversity – Strategy and Annual Report</w:t>
            </w:r>
          </w:p>
          <w:p w:rsidR="00E81BE1" w:rsidRPr="009369D9" w:rsidRDefault="00E81BE1" w:rsidP="0068472B">
            <w:pPr>
              <w:pStyle w:val="Body"/>
              <w:ind w:left="34"/>
              <w:jc w:val="both"/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</w:pPr>
          </w:p>
          <w:p w:rsidR="0068472B" w:rsidRPr="009369D9" w:rsidRDefault="002F3A5F" w:rsidP="0068472B">
            <w:pPr>
              <w:pStyle w:val="Body"/>
              <w:spacing w:line="24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Board received the report on equality and diversity for The Manchester College.</w:t>
            </w:r>
          </w:p>
          <w:p w:rsidR="0068472B" w:rsidRPr="009369D9" w:rsidRDefault="0068472B" w:rsidP="0068472B">
            <w:pPr>
              <w:pStyle w:val="Body"/>
              <w:spacing w:line="24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68472B" w:rsidRPr="009369D9" w:rsidRDefault="007D2741" w:rsidP="0068472B">
            <w:pPr>
              <w:pStyle w:val="Body"/>
              <w:spacing w:line="24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Included within the paper </w:t>
            </w:r>
            <w:r w:rsidR="0068472B" w:rsidRPr="009369D9">
              <w:rPr>
                <w:rFonts w:ascii="Arial" w:hAnsi="Arial"/>
                <w:sz w:val="22"/>
                <w:szCs w:val="22"/>
              </w:rPr>
              <w:t>were annual objectives and a review of business units</w:t>
            </w:r>
            <w:r w:rsidR="002F3A5F">
              <w:rPr>
                <w:rFonts w:ascii="Arial" w:hAnsi="Arial"/>
                <w:sz w:val="22"/>
                <w:szCs w:val="22"/>
              </w:rPr>
              <w:t>, including The Manchester College</w:t>
            </w:r>
            <w:r w:rsidR="0068472B" w:rsidRPr="009369D9">
              <w:rPr>
                <w:rFonts w:ascii="Arial" w:hAnsi="Arial"/>
                <w:sz w:val="22"/>
                <w:szCs w:val="22"/>
              </w:rPr>
              <w:t xml:space="preserve">. The report was structured in alignment with outcomes for and achievements of students. Recommendations on the journey to ‘a state of equality’ across the group included the need to develop a dashboard that represented a 3 year trend analysis. The dashboard would be developed to showcase the presentation of data </w:t>
            </w:r>
            <w:r w:rsidR="002F3A5F">
              <w:rPr>
                <w:rFonts w:ascii="Arial" w:hAnsi="Arial"/>
                <w:sz w:val="22"/>
                <w:szCs w:val="22"/>
              </w:rPr>
              <w:t>including</w:t>
            </w:r>
            <w:r w:rsidR="0068472B" w:rsidRPr="009369D9">
              <w:rPr>
                <w:rFonts w:ascii="Arial" w:hAnsi="Arial"/>
                <w:sz w:val="22"/>
                <w:szCs w:val="22"/>
              </w:rPr>
              <w:t xml:space="preserve"> quality improvement outcomes, case studies </w:t>
            </w:r>
            <w:r w:rsidR="002F3A5F">
              <w:rPr>
                <w:rFonts w:ascii="Arial" w:hAnsi="Arial"/>
                <w:sz w:val="22"/>
                <w:szCs w:val="22"/>
              </w:rPr>
              <w:t>and</w:t>
            </w:r>
            <w:r w:rsidR="0068472B" w:rsidRPr="009369D9">
              <w:rPr>
                <w:rFonts w:ascii="Arial" w:hAnsi="Arial"/>
                <w:sz w:val="22"/>
                <w:szCs w:val="22"/>
              </w:rPr>
              <w:t xml:space="preserve"> a single equality strategy that </w:t>
            </w:r>
            <w:r w:rsidR="002F3A5F">
              <w:rPr>
                <w:rFonts w:ascii="Arial" w:hAnsi="Arial"/>
                <w:sz w:val="22"/>
                <w:szCs w:val="22"/>
              </w:rPr>
              <w:t>was</w:t>
            </w:r>
            <w:r w:rsidR="0068472B" w:rsidRPr="009369D9">
              <w:rPr>
                <w:rFonts w:ascii="Arial" w:hAnsi="Arial"/>
                <w:sz w:val="22"/>
                <w:szCs w:val="22"/>
              </w:rPr>
              <w:t xml:space="preserve"> more focused. </w:t>
            </w:r>
          </w:p>
          <w:p w:rsidR="0068472B" w:rsidRPr="009369D9" w:rsidRDefault="0068472B" w:rsidP="0068472B">
            <w:pPr>
              <w:pStyle w:val="Body"/>
              <w:spacing w:line="24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D2741" w:rsidRDefault="0068472B" w:rsidP="0068472B">
            <w:pPr>
              <w:pStyle w:val="NoSpacing"/>
              <w:jc w:val="both"/>
              <w:rPr>
                <w:rFonts w:ascii="Arial" w:hAnsi="Arial"/>
                <w:sz w:val="22"/>
                <w:szCs w:val="22"/>
              </w:rPr>
            </w:pPr>
            <w:r w:rsidRPr="009369D9">
              <w:rPr>
                <w:rFonts w:ascii="Arial" w:hAnsi="Arial"/>
                <w:sz w:val="22"/>
                <w:szCs w:val="22"/>
              </w:rPr>
              <w:t xml:space="preserve">Members queried the source of the average data highlighted within the narrative on </w:t>
            </w:r>
            <w:r w:rsidRPr="007D2741">
              <w:rPr>
                <w:rFonts w:ascii="Arial" w:hAnsi="Arial"/>
                <w:sz w:val="22"/>
                <w:szCs w:val="22"/>
              </w:rPr>
              <w:t>each table</w:t>
            </w:r>
            <w:r w:rsidRPr="009369D9">
              <w:rPr>
                <w:rFonts w:ascii="Arial" w:hAnsi="Arial"/>
                <w:sz w:val="22"/>
                <w:szCs w:val="22"/>
              </w:rPr>
              <w:t xml:space="preserve">. Confirmation was given that the data was derived from the college’s SAR document which provided granular detail on </w:t>
            </w:r>
            <w:r w:rsidR="002F3A5F">
              <w:rPr>
                <w:rFonts w:ascii="Arial" w:hAnsi="Arial"/>
                <w:sz w:val="22"/>
                <w:szCs w:val="22"/>
              </w:rPr>
              <w:t>the protected characteristics. M</w:t>
            </w:r>
            <w:r w:rsidRPr="009369D9">
              <w:rPr>
                <w:rFonts w:ascii="Arial" w:hAnsi="Arial"/>
                <w:sz w:val="22"/>
                <w:szCs w:val="22"/>
              </w:rPr>
              <w:t xml:space="preserve">embers requested that clear referencing and actions be outlined on the overarching headline underpinning the data. </w:t>
            </w:r>
          </w:p>
          <w:p w:rsidR="007D2741" w:rsidRDefault="007D2741" w:rsidP="0068472B">
            <w:pPr>
              <w:pStyle w:val="NoSpacing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612741" w:rsidRDefault="0055493F" w:rsidP="0068472B">
            <w:pPr>
              <w:pStyle w:val="NoSpacing"/>
              <w:jc w:val="both"/>
              <w:rPr>
                <w:rFonts w:ascii="Arial" w:hAnsi="Arial"/>
                <w:sz w:val="22"/>
                <w:szCs w:val="22"/>
              </w:rPr>
            </w:pPr>
            <w:r w:rsidRPr="0055493F">
              <w:rPr>
                <w:rFonts w:ascii="Arial" w:eastAsia="Arial" w:hAnsi="Arial" w:cs="Arial"/>
                <w:b/>
                <w:i/>
                <w:sz w:val="22"/>
                <w:szCs w:val="22"/>
                <w:lang w:val="en-GB"/>
              </w:rPr>
              <w:t>RESOLVED</w:t>
            </w:r>
            <w:r w:rsidR="007D2741" w:rsidRPr="007D2741"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r w:rsidR="007D2741">
              <w:rPr>
                <w:rFonts w:ascii="Arial" w:hAnsi="Arial"/>
                <w:sz w:val="22"/>
                <w:szCs w:val="22"/>
              </w:rPr>
              <w:t xml:space="preserve">that the </w:t>
            </w:r>
            <w:r w:rsidR="004053D1">
              <w:rPr>
                <w:rFonts w:ascii="Arial" w:hAnsi="Arial"/>
                <w:sz w:val="22"/>
                <w:szCs w:val="22"/>
              </w:rPr>
              <w:t xml:space="preserve">Annual Report, including </w:t>
            </w:r>
            <w:r w:rsidR="007D2741">
              <w:rPr>
                <w:rFonts w:ascii="Arial" w:hAnsi="Arial"/>
                <w:sz w:val="22"/>
                <w:szCs w:val="22"/>
              </w:rPr>
              <w:t xml:space="preserve">the overarching equality objectives be </w:t>
            </w:r>
            <w:r w:rsidR="004053D1">
              <w:rPr>
                <w:rFonts w:ascii="Arial" w:hAnsi="Arial"/>
                <w:sz w:val="22"/>
                <w:szCs w:val="22"/>
              </w:rPr>
              <w:t>recommended</w:t>
            </w:r>
            <w:r w:rsidR="007D2741">
              <w:rPr>
                <w:rFonts w:ascii="Arial" w:hAnsi="Arial"/>
                <w:sz w:val="22"/>
                <w:szCs w:val="22"/>
              </w:rPr>
              <w:t xml:space="preserve"> to LTE Group board for </w:t>
            </w:r>
            <w:r w:rsidR="004053D1">
              <w:rPr>
                <w:rFonts w:ascii="Arial" w:hAnsi="Arial"/>
                <w:sz w:val="22"/>
                <w:szCs w:val="22"/>
              </w:rPr>
              <w:t>approval</w:t>
            </w:r>
            <w:r w:rsidR="007D2741">
              <w:rPr>
                <w:rFonts w:ascii="Arial" w:hAnsi="Arial"/>
                <w:sz w:val="22"/>
                <w:szCs w:val="22"/>
              </w:rPr>
              <w:t>.</w:t>
            </w:r>
          </w:p>
          <w:p w:rsidR="0068472B" w:rsidRDefault="0068472B" w:rsidP="0068472B">
            <w:pPr>
              <w:pStyle w:val="NoSpacing"/>
              <w:jc w:val="both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</w:p>
          <w:p w:rsidR="005868E2" w:rsidRDefault="005868E2" w:rsidP="0068472B">
            <w:pPr>
              <w:pStyle w:val="NoSpacing"/>
              <w:jc w:val="both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</w:p>
        </w:tc>
      </w:tr>
      <w:tr w:rsidR="00612741" w:rsidRPr="00852640" w:rsidTr="0068472B">
        <w:tc>
          <w:tcPr>
            <w:tcW w:w="821" w:type="dxa"/>
          </w:tcPr>
          <w:p w:rsidR="00612741" w:rsidRDefault="00612741" w:rsidP="00612741">
            <w:pPr>
              <w:pStyle w:val="NoSpacing"/>
              <w:jc w:val="both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</w:p>
        </w:tc>
        <w:tc>
          <w:tcPr>
            <w:tcW w:w="8283" w:type="dxa"/>
          </w:tcPr>
          <w:p w:rsidR="005868E2" w:rsidRDefault="005868E2" w:rsidP="00612741">
            <w:pPr>
              <w:pStyle w:val="NoSpacing"/>
              <w:jc w:val="both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  <w:p w:rsidR="00612741" w:rsidRDefault="0068472B" w:rsidP="00612741">
            <w:pPr>
              <w:pStyle w:val="NoSpacing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008F1">
              <w:rPr>
                <w:rFonts w:ascii="Arial" w:eastAsia="Arial" w:hAnsi="Arial" w:cs="Arial"/>
                <w:b/>
                <w:i/>
                <w:sz w:val="22"/>
                <w:szCs w:val="22"/>
              </w:rPr>
              <w:t>RESOLVED</w:t>
            </w:r>
            <w:r w:rsidRPr="003008F1">
              <w:rPr>
                <w:rFonts w:ascii="Arial" w:eastAsia="Arial" w:hAnsi="Arial" w:cs="Arial"/>
                <w:sz w:val="22"/>
                <w:szCs w:val="22"/>
              </w:rPr>
              <w:t xml:space="preserve"> that as the items to be considered are deemed commercially sensitive, the Board move into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confidential </w:t>
            </w:r>
            <w:r w:rsidRPr="003008F1">
              <w:rPr>
                <w:rFonts w:ascii="Arial" w:eastAsia="Arial" w:hAnsi="Arial" w:cs="Arial"/>
                <w:sz w:val="22"/>
                <w:szCs w:val="22"/>
              </w:rPr>
              <w:t>session.</w:t>
            </w:r>
          </w:p>
          <w:p w:rsidR="005868E2" w:rsidRDefault="005868E2" w:rsidP="00612741">
            <w:pPr>
              <w:pStyle w:val="NoSpacing"/>
              <w:jc w:val="both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</w:p>
        </w:tc>
      </w:tr>
      <w:tr w:rsidR="0068472B" w:rsidRPr="00852640" w:rsidTr="0068472B">
        <w:tc>
          <w:tcPr>
            <w:tcW w:w="821" w:type="dxa"/>
          </w:tcPr>
          <w:p w:rsidR="0068472B" w:rsidRPr="00852640" w:rsidRDefault="0068472B" w:rsidP="00612741">
            <w:pPr>
              <w:pStyle w:val="NoSpacing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8472B" w:rsidRDefault="0068472B" w:rsidP="00612741">
            <w:pPr>
              <w:pStyle w:val="NoSpacing"/>
              <w:jc w:val="both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</w:p>
        </w:tc>
        <w:tc>
          <w:tcPr>
            <w:tcW w:w="8283" w:type="dxa"/>
          </w:tcPr>
          <w:p w:rsidR="0068472B" w:rsidRDefault="0068472B" w:rsidP="00612741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472B" w:rsidRPr="003D0558" w:rsidRDefault="0068472B" w:rsidP="00612741">
            <w:pPr>
              <w:pStyle w:val="NoSpacing"/>
              <w:jc w:val="both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 w:rsidRPr="003D0558">
              <w:rPr>
                <w:rFonts w:ascii="Arial" w:hAnsi="Arial" w:cs="Arial"/>
                <w:b/>
                <w:color w:val="00B050"/>
                <w:sz w:val="22"/>
                <w:szCs w:val="22"/>
              </w:rPr>
              <w:t xml:space="preserve">-------------------------------------- </w:t>
            </w:r>
          </w:p>
          <w:p w:rsidR="0068472B" w:rsidRPr="003D0558" w:rsidRDefault="0068472B" w:rsidP="00612741">
            <w:pPr>
              <w:pStyle w:val="NoSpacing"/>
              <w:jc w:val="both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 w:rsidRPr="003D0558">
              <w:rPr>
                <w:rFonts w:ascii="Arial" w:hAnsi="Arial" w:cs="Arial"/>
                <w:b/>
                <w:color w:val="00B050"/>
                <w:sz w:val="22"/>
                <w:szCs w:val="22"/>
              </w:rPr>
              <w:t xml:space="preserve">Chair </w:t>
            </w:r>
          </w:p>
          <w:p w:rsidR="0068472B" w:rsidRPr="003D0558" w:rsidRDefault="0068472B" w:rsidP="00612741">
            <w:pPr>
              <w:pStyle w:val="NoSpacing"/>
              <w:jc w:val="both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</w:p>
          <w:p w:rsidR="0068472B" w:rsidRPr="003D0558" w:rsidRDefault="0068472B" w:rsidP="00612741">
            <w:pPr>
              <w:pStyle w:val="NoSpacing"/>
              <w:jc w:val="both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</w:p>
          <w:p w:rsidR="0068472B" w:rsidRPr="003D0558" w:rsidRDefault="0068472B" w:rsidP="00612741">
            <w:pPr>
              <w:pStyle w:val="NoSpacing"/>
              <w:jc w:val="both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 w:rsidRPr="003D0558">
              <w:rPr>
                <w:rFonts w:ascii="Arial" w:hAnsi="Arial" w:cs="Arial"/>
                <w:b/>
                <w:color w:val="00B050"/>
                <w:sz w:val="22"/>
                <w:szCs w:val="22"/>
              </w:rPr>
              <w:t xml:space="preserve">-------------------------------------- </w:t>
            </w:r>
          </w:p>
          <w:p w:rsidR="0068472B" w:rsidRPr="003D0558" w:rsidRDefault="0068472B" w:rsidP="00612741">
            <w:pPr>
              <w:pStyle w:val="NoSpacing"/>
              <w:jc w:val="both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 w:rsidRPr="003D0558">
              <w:rPr>
                <w:rFonts w:ascii="Arial" w:hAnsi="Arial" w:cs="Arial"/>
                <w:b/>
                <w:color w:val="00B050"/>
                <w:sz w:val="22"/>
                <w:szCs w:val="22"/>
              </w:rPr>
              <w:t>Date</w:t>
            </w:r>
          </w:p>
          <w:p w:rsidR="0068472B" w:rsidRDefault="0068472B" w:rsidP="00612741">
            <w:pPr>
              <w:pStyle w:val="NoSpacing"/>
              <w:jc w:val="both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</w:p>
        </w:tc>
      </w:tr>
    </w:tbl>
    <w:p w:rsidR="00DF4BF7" w:rsidRDefault="00920A3B">
      <w:r w:rsidRPr="007D2741">
        <w:t xml:space="preserve">The meeting closed at </w:t>
      </w:r>
      <w:r w:rsidR="0068472B" w:rsidRPr="007D2741">
        <w:t>1:30pm</w:t>
      </w:r>
      <w:r w:rsidR="001C140C" w:rsidRPr="007D2741">
        <w:t>.</w:t>
      </w:r>
      <w:r w:rsidR="001C140C">
        <w:t xml:space="preserve"> </w:t>
      </w:r>
      <w:bookmarkStart w:id="0" w:name="_GoBack"/>
      <w:bookmarkEnd w:id="0"/>
    </w:p>
    <w:sectPr w:rsidR="00DF4BF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40C" w:rsidRDefault="001C140C" w:rsidP="001C140C">
      <w:pPr>
        <w:spacing w:line="240" w:lineRule="auto"/>
      </w:pPr>
      <w:r>
        <w:separator/>
      </w:r>
    </w:p>
  </w:endnote>
  <w:endnote w:type="continuationSeparator" w:id="0">
    <w:p w:rsidR="001C140C" w:rsidRDefault="001C140C" w:rsidP="001C1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40C" w:rsidRDefault="001C140C" w:rsidP="001C140C">
      <w:pPr>
        <w:spacing w:line="240" w:lineRule="auto"/>
      </w:pPr>
      <w:r>
        <w:separator/>
      </w:r>
    </w:p>
  </w:footnote>
  <w:footnote w:type="continuationSeparator" w:id="0">
    <w:p w:rsidR="001C140C" w:rsidRDefault="001C140C" w:rsidP="001C14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40C" w:rsidRDefault="001C140C">
    <w:pPr>
      <w:pStyle w:val="Header"/>
    </w:pPr>
    <w:r w:rsidRPr="00AD7BE6">
      <w:rPr>
        <w:noProof/>
        <w:lang w:eastAsia="en-GB"/>
      </w:rPr>
      <w:drawing>
        <wp:inline distT="0" distB="0" distL="0" distR="0" wp14:anchorId="3C06F822" wp14:editId="7269FC8D">
          <wp:extent cx="2228850" cy="1114425"/>
          <wp:effectExtent l="0" t="0" r="0" b="9525"/>
          <wp:docPr id="1" name="Picture 1" descr="C:\Users\kmackenzie\AppData\Local\Microsoft\Windows\Temporary Internet Files\Content.Outlook\DL007TDK\TM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ackenzie\AppData\Local\Microsoft\Windows\Temporary Internet Files\Content.Outlook\DL007TDK\TMC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994" cy="1115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D78DB"/>
    <w:multiLevelType w:val="hybridMultilevel"/>
    <w:tmpl w:val="18E46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0C"/>
    <w:rsid w:val="0000490E"/>
    <w:rsid w:val="00005607"/>
    <w:rsid w:val="00006317"/>
    <w:rsid w:val="0003323A"/>
    <w:rsid w:val="00054659"/>
    <w:rsid w:val="000845CA"/>
    <w:rsid w:val="0009144D"/>
    <w:rsid w:val="000F14B5"/>
    <w:rsid w:val="0012264D"/>
    <w:rsid w:val="0012768D"/>
    <w:rsid w:val="001425D8"/>
    <w:rsid w:val="001B3245"/>
    <w:rsid w:val="001C140C"/>
    <w:rsid w:val="001D56C4"/>
    <w:rsid w:val="002D526D"/>
    <w:rsid w:val="002E2EA8"/>
    <w:rsid w:val="002F3A5F"/>
    <w:rsid w:val="002F54EC"/>
    <w:rsid w:val="00306548"/>
    <w:rsid w:val="0032404F"/>
    <w:rsid w:val="00352B32"/>
    <w:rsid w:val="003621DA"/>
    <w:rsid w:val="00365998"/>
    <w:rsid w:val="003C340B"/>
    <w:rsid w:val="003F0AD0"/>
    <w:rsid w:val="003F187B"/>
    <w:rsid w:val="004053D1"/>
    <w:rsid w:val="00457E33"/>
    <w:rsid w:val="00471603"/>
    <w:rsid w:val="004758B4"/>
    <w:rsid w:val="00495032"/>
    <w:rsid w:val="004C0BF8"/>
    <w:rsid w:val="004C3E63"/>
    <w:rsid w:val="004E1FEC"/>
    <w:rsid w:val="004E385B"/>
    <w:rsid w:val="004F7642"/>
    <w:rsid w:val="005054C4"/>
    <w:rsid w:val="00543131"/>
    <w:rsid w:val="005448F1"/>
    <w:rsid w:val="0055493F"/>
    <w:rsid w:val="0058460A"/>
    <w:rsid w:val="005868E2"/>
    <w:rsid w:val="005A46BE"/>
    <w:rsid w:val="005C29A9"/>
    <w:rsid w:val="005C40D2"/>
    <w:rsid w:val="005E1B72"/>
    <w:rsid w:val="00606A9A"/>
    <w:rsid w:val="00612741"/>
    <w:rsid w:val="00616BFB"/>
    <w:rsid w:val="00623B0C"/>
    <w:rsid w:val="00635FCA"/>
    <w:rsid w:val="00681C90"/>
    <w:rsid w:val="0068472B"/>
    <w:rsid w:val="00693E5E"/>
    <w:rsid w:val="0069599D"/>
    <w:rsid w:val="006B7550"/>
    <w:rsid w:val="006D1F40"/>
    <w:rsid w:val="006E69C0"/>
    <w:rsid w:val="006F188D"/>
    <w:rsid w:val="006F50FC"/>
    <w:rsid w:val="00730D9E"/>
    <w:rsid w:val="007347DA"/>
    <w:rsid w:val="007377FB"/>
    <w:rsid w:val="00740FB9"/>
    <w:rsid w:val="00783AA2"/>
    <w:rsid w:val="007D2741"/>
    <w:rsid w:val="007F2EC7"/>
    <w:rsid w:val="00804683"/>
    <w:rsid w:val="00833873"/>
    <w:rsid w:val="008438C3"/>
    <w:rsid w:val="00861A79"/>
    <w:rsid w:val="00880065"/>
    <w:rsid w:val="00881758"/>
    <w:rsid w:val="00891218"/>
    <w:rsid w:val="00893199"/>
    <w:rsid w:val="00896979"/>
    <w:rsid w:val="00896D37"/>
    <w:rsid w:val="008F0337"/>
    <w:rsid w:val="008F5439"/>
    <w:rsid w:val="009018D8"/>
    <w:rsid w:val="00920A3B"/>
    <w:rsid w:val="00944AF4"/>
    <w:rsid w:val="00966C1B"/>
    <w:rsid w:val="00976FD7"/>
    <w:rsid w:val="00996AB8"/>
    <w:rsid w:val="009A3BCC"/>
    <w:rsid w:val="009A4500"/>
    <w:rsid w:val="009C7C79"/>
    <w:rsid w:val="009D0E12"/>
    <w:rsid w:val="009E2EDA"/>
    <w:rsid w:val="00A2546F"/>
    <w:rsid w:val="00A80137"/>
    <w:rsid w:val="00A847EB"/>
    <w:rsid w:val="00AA1177"/>
    <w:rsid w:val="00AA1568"/>
    <w:rsid w:val="00AA7E80"/>
    <w:rsid w:val="00AB6147"/>
    <w:rsid w:val="00AB771E"/>
    <w:rsid w:val="00AC05B3"/>
    <w:rsid w:val="00AD6A9E"/>
    <w:rsid w:val="00AE4ED2"/>
    <w:rsid w:val="00AE5372"/>
    <w:rsid w:val="00B23C15"/>
    <w:rsid w:val="00B240A3"/>
    <w:rsid w:val="00B4102F"/>
    <w:rsid w:val="00B63C58"/>
    <w:rsid w:val="00B8673F"/>
    <w:rsid w:val="00BC663F"/>
    <w:rsid w:val="00BE44BF"/>
    <w:rsid w:val="00BE6D1A"/>
    <w:rsid w:val="00C07C51"/>
    <w:rsid w:val="00C1786F"/>
    <w:rsid w:val="00C4434C"/>
    <w:rsid w:val="00C64A7C"/>
    <w:rsid w:val="00C96A42"/>
    <w:rsid w:val="00CA41A6"/>
    <w:rsid w:val="00D04643"/>
    <w:rsid w:val="00D25578"/>
    <w:rsid w:val="00D330C1"/>
    <w:rsid w:val="00D56D15"/>
    <w:rsid w:val="00D60272"/>
    <w:rsid w:val="00D659E3"/>
    <w:rsid w:val="00D90051"/>
    <w:rsid w:val="00DC257A"/>
    <w:rsid w:val="00DD1AB6"/>
    <w:rsid w:val="00DF3DC9"/>
    <w:rsid w:val="00DF4BF7"/>
    <w:rsid w:val="00DF627F"/>
    <w:rsid w:val="00E113E8"/>
    <w:rsid w:val="00E17444"/>
    <w:rsid w:val="00E81BE1"/>
    <w:rsid w:val="00EC0165"/>
    <w:rsid w:val="00F23B9E"/>
    <w:rsid w:val="00F41B29"/>
    <w:rsid w:val="00F43D8B"/>
    <w:rsid w:val="00F717B7"/>
    <w:rsid w:val="00F74E3C"/>
    <w:rsid w:val="00F86712"/>
    <w:rsid w:val="00FA5857"/>
    <w:rsid w:val="00FB3389"/>
    <w:rsid w:val="00FB48AF"/>
    <w:rsid w:val="00FD01CF"/>
    <w:rsid w:val="00FD18D3"/>
    <w:rsid w:val="00FE0A05"/>
    <w:rsid w:val="00FF1983"/>
    <w:rsid w:val="00FF33BF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702EE"/>
  <w15:chartTrackingRefBased/>
  <w15:docId w15:val="{9DE12320-4CEC-4B4E-B4D7-3FCDF4EE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40C"/>
    <w:pPr>
      <w:spacing w:after="0" w:line="276" w:lineRule="auto"/>
    </w:pPr>
    <w:rPr>
      <w:rFonts w:eastAsia="Times New Roman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C140C"/>
    <w:p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C140C"/>
    <w:rPr>
      <w:rFonts w:eastAsia="Times New Roman" w:cs="Times New Roman"/>
      <w:b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140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40C"/>
    <w:rPr>
      <w:rFonts w:eastAsia="Times New Roman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140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40C"/>
    <w:rPr>
      <w:rFonts w:eastAsia="Times New Roman" w:cs="Times New Roman"/>
      <w:sz w:val="20"/>
      <w:szCs w:val="24"/>
      <w:lang w:val="en-US"/>
    </w:rPr>
  </w:style>
  <w:style w:type="table" w:styleId="TableGrid">
    <w:name w:val="Table Grid"/>
    <w:basedOn w:val="TableNormal"/>
    <w:uiPriority w:val="39"/>
    <w:rsid w:val="001C1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1C140C"/>
    <w:pPr>
      <w:spacing w:after="0" w:line="240" w:lineRule="auto"/>
    </w:pPr>
    <w:rPr>
      <w:rFonts w:eastAsia="Times New Roman" w:cs="Times New Roman"/>
      <w:sz w:val="20"/>
      <w:szCs w:val="24"/>
      <w:lang w:val="en-US"/>
    </w:rPr>
  </w:style>
  <w:style w:type="paragraph" w:customStyle="1" w:styleId="Body">
    <w:name w:val="Body"/>
    <w:rsid w:val="00966C1B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E79AD-5767-40B1-8066-0CF4FD68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LTE Group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Foote</dc:creator>
  <cp:keywords/>
  <dc:description/>
  <cp:lastModifiedBy>Jennifer Foote</cp:lastModifiedBy>
  <cp:revision>7</cp:revision>
  <dcterms:created xsi:type="dcterms:W3CDTF">2019-05-24T20:01:00Z</dcterms:created>
  <dcterms:modified xsi:type="dcterms:W3CDTF">2019-05-28T11:26:00Z</dcterms:modified>
</cp:coreProperties>
</file>